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 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>Il regolamento di contabilità degli Enti Locali</w:t>
      </w:r>
    </w:p>
    <w:p>
      <w:pPr>
        <w:pStyle w:val="Heading1"/>
        <w:rPr>
          <w:iCs/>
          <w:color w:val="C00000"/>
          <w:sz w:val="22"/>
          <w:szCs w:val="22"/>
        </w:rPr>
      </w:pPr>
      <w:r>
        <w:rPr>
          <w:iCs/>
          <w:color w:val="C00000"/>
          <w:sz w:val="22"/>
          <w:szCs w:val="22"/>
        </w:rPr>
        <w:t>Analisi di uno schema tipo aggiornato al D.M. 25/07/2023</w:t>
      </w:r>
    </w:p>
    <w:p>
      <w:pPr>
        <w:pStyle w:val="Heading1"/>
        <w:rPr>
          <w:iCs/>
          <w:sz w:val="22"/>
        </w:rPr>
      </w:pPr>
      <w:r>
        <w:rPr>
          <w:iCs/>
          <w:sz w:val="22"/>
        </w:rPr>
        <w:t>Mercoledì 2 ottobre 2024, ore 15.00-17.00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1. Il regolamento di contabilità è approvato: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dalla Giunta comunale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dal Consiglio comunale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dal responsabile del servizio finanziario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2. Le norme del TUEL che possono essere derogate nel regolamento di contabilità: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scelte indistintamente dall’Ente in base alla sua struttura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scelte indistintamente dal responsabile del servizio finanziario in base alla struttura dell’Ente;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individuate in un elenco ben definito di norme dall’art. 152, comma 4, del TUEL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3. In merito all’approvazione del bilancio cosa è necessario che il regolamento di contabilità disciplini?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Nulla perché è già stato definito con il D.M. 25.07.2023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Tempi e modalità di deposito del bilancio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Definizione dei tempi e modalità di deposito del bilancio di previsione, resa del parere dell’organo di revisione economico finanziaria e proposte di emendamenti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4. In merito alle variazioni di bilancio cosa è necessario che il regolamento di contabilità disciplini?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Possibilità di attribuire ai responsabili di spesa la competenza in merito alle variazioni di cui al comma 5-quater dell’art. 175 del TUEL e le modalità di comunicazione al Consiglio delle variazioni di competenza della Giunta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Nulla in quanto le variazioni sono espressamente disciplinate nel TUEL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I tempi di ratifica in Consiglio comunale delle variazioni adottate dalla Giunta in via d’urgenza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5. In merito al rilascio dei pareri di regolarità contabile il regolamento di contabilità cosa deve disciplinare?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Nulla in quanto il parere di regolarità contabile è già disciplinato dall’art. 49 del TUEL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Le modalità di resa dei pareri di regolarità contabile sulle proposte di deliberazione di Giunta e di Consiglio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Il soggetto che deve apporre il parere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sFree_Office_for_Docs_and_PDF/7.4.2.3$Windows_X86_64 LibreOffice_project/382eef1f22670f7f4118c8c2dd222ec7ad009daf</Application>
  <AppVersion>15.0000</AppVersion>
  <Pages>2</Pages>
  <Words>345</Words>
  <Characters>1973</Characters>
  <CharactersWithSpaces>2293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2020-10-24T07:14:00Z</dcterms:created>
  <dc:creator>Donato</dc:creator>
  <dc:description/>
  <dc:language>it-IT</dc:language>
  <cp:lastModifiedBy/>
  <dcterms:modified xsi:type="dcterms:W3CDTF">2024-10-15T15:25:35Z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