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Heading1"/>
        <w:rPr>
          <w:b w:val="false"/>
          <w:b w:val="false"/>
          <w:iCs/>
          <w:sz w:val="24"/>
          <w:u w:val="single"/>
        </w:rPr>
      </w:pPr>
      <w:r>
        <w:rPr>
          <w:b w:val="false"/>
          <w:iCs/>
          <w:sz w:val="22"/>
          <w:u w:val="single"/>
        </w:rPr>
        <w:t>Corso on line in diretta</w:t>
      </w:r>
    </w:p>
    <w:p>
      <w:pPr>
        <w:pStyle w:val="Heading1"/>
        <w:rPr>
          <w:iCs/>
          <w:color w:val="C00000"/>
          <w:szCs w:val="28"/>
        </w:rPr>
      </w:pPr>
      <w:r>
        <w:rPr>
          <w:iCs/>
          <w:color w:val="C00000"/>
          <w:szCs w:val="28"/>
        </w:rPr>
        <w:t>L’accertamento esecutivo preceduto dal contraddittorio preventivo</w:t>
      </w:r>
    </w:p>
    <w:p>
      <w:pPr>
        <w:pStyle w:val="Heading1"/>
        <w:rPr>
          <w:iCs/>
          <w:color w:val="C00000"/>
          <w:sz w:val="22"/>
          <w:szCs w:val="22"/>
        </w:rPr>
      </w:pPr>
      <w:r>
        <w:rPr>
          <w:iCs/>
          <w:color w:val="C00000"/>
          <w:sz w:val="22"/>
          <w:szCs w:val="22"/>
        </w:rPr>
        <w:t>Procedure ed adempimenti</w:t>
      </w:r>
    </w:p>
    <w:p>
      <w:pPr>
        <w:pStyle w:val="Heading1"/>
        <w:rPr>
          <w:iCs/>
          <w:sz w:val="22"/>
        </w:rPr>
      </w:pPr>
      <w:r>
        <w:rPr>
          <w:iCs/>
          <w:sz w:val="22"/>
        </w:rPr>
        <w:t>Giovedì 24 ottobre 2024, ore 14.30 – 17.30</w:t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Heading1"/>
        <w:rPr>
          <w:bCs w:val="false"/>
          <w:iCs/>
          <w:color w:val="002060"/>
          <w:sz w:val="32"/>
          <w:u w:val="single"/>
        </w:rPr>
      </w:pPr>
      <w:r>
        <w:rPr>
          <w:bCs w:val="false"/>
          <w:iCs/>
          <w:color w:val="002060"/>
          <w:sz w:val="32"/>
          <w:u w:val="single"/>
        </w:rPr>
        <w:t>Test di verifica dell’apprendimento</w:t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pBdr>
          <w:top w:val="dashSmallGap" w:sz="8" w:space="1" w:color="000000"/>
          <w:left w:val="dashSmallGap" w:sz="8" w:space="4" w:color="000000"/>
          <w:bottom w:val="dashSmallGap" w:sz="8" w:space="1" w:color="000000"/>
          <w:right w:val="dashSmallGap" w:sz="8" w:space="4" w:color="000000"/>
        </w:pBdr>
        <w:rPr/>
      </w:pPr>
      <w:r>
        <w:rPr/>
      </w:r>
    </w:p>
    <w:p>
      <w:pPr>
        <w:pStyle w:val="Heading1"/>
        <w:pBdr>
          <w:top w:val="dashSmallGap" w:sz="8" w:space="1" w:color="000000"/>
          <w:left w:val="dashSmallGap" w:sz="8" w:space="4" w:color="000000"/>
          <w:bottom w:val="dashSmallGap" w:sz="8" w:space="1" w:color="000000"/>
          <w:right w:val="dashSmallGap" w:sz="8" w:space="4" w:color="000000"/>
        </w:pBdr>
        <w:rPr>
          <w:sz w:val="22"/>
        </w:rPr>
      </w:pPr>
      <w:r>
        <w:rPr>
          <w:sz w:val="22"/>
        </w:rPr>
        <w:t>Cognome  ___________________________   Nome  _________________________</w:t>
      </w:r>
    </w:p>
    <w:p>
      <w:pPr>
        <w:pStyle w:val="Heading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Heading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Ente di appartenenza  </w:t>
      </w:r>
      <w:r>
        <w:rPr>
          <w:rFonts w:ascii="Times New Roman" w:hAnsi="Times New Roman"/>
          <w:sz w:val="22"/>
        </w:rPr>
        <w:t>________________________________________________________________</w:t>
      </w:r>
    </w:p>
    <w:p>
      <w:pPr>
        <w:pStyle w:val="Normal"/>
        <w:pBdr>
          <w:top w:val="dashSmallGap" w:sz="8" w:space="1" w:color="000000"/>
          <w:left w:val="dashSmallGap" w:sz="8" w:space="4" w:color="000000"/>
          <w:bottom w:val="dashSmallGap" w:sz="8" w:space="1" w:color="000000"/>
          <w:right w:val="dashSmallGap" w:sz="8" w:space="4" w:color="000000"/>
        </w:pBdr>
        <w:rPr/>
      </w:pPr>
      <w:r>
        <w:rPr/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rPr>
          <w:rFonts w:ascii="Times New Roman" w:hAnsi="Times New Roman"/>
          <w:sz w:val="24"/>
          <w:lang w:eastAsia="it-IT"/>
        </w:rPr>
      </w:pPr>
      <w:r>
        <w:rPr>
          <w:rFonts w:ascii="Times New Roman" w:hAnsi="Times New Roman"/>
          <w:sz w:val="24"/>
          <w:lang w:eastAsia="it-IT"/>
        </w:rPr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/>
        <w:t>*</w:t>
        <w:tab/>
        <w:tab/>
      </w:r>
      <w:r>
        <w:rPr>
          <w:rFonts w:ascii="Times New Roman" w:hAnsi="Times New Roman"/>
          <w:b/>
        </w:rPr>
        <w:t>Modalità di compilazione</w:t>
      </w:r>
      <w:r>
        <w:rPr>
          <w:rFonts w:ascii="Times New Roman" w:hAnsi="Times New Roman"/>
        </w:rPr>
        <w:t>:</w:t>
        <w:tab/>
        <w:tab/>
        <w:t>per ogni quesito, barrare una sola risposta</w:t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*</w:t>
        <w:tab/>
        <w:tab/>
      </w:r>
      <w:r>
        <w:rPr>
          <w:rFonts w:ascii="Times New Roman" w:hAnsi="Times New Roman"/>
          <w:b/>
        </w:rPr>
        <w:t>Tempo a disposizione</w:t>
      </w:r>
      <w:r>
        <w:rPr>
          <w:rFonts w:ascii="Times New Roman" w:hAnsi="Times New Roman"/>
        </w:rPr>
        <w:t>:</w:t>
        <w:tab/>
        <w:tab/>
        <w:tab/>
        <w:t>10 minuti</w:t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>*</w:t>
        <w:tab/>
        <w:tab/>
      </w:r>
      <w:r>
        <w:rPr>
          <w:rFonts w:ascii="Times New Roman" w:hAnsi="Times New Roman"/>
          <w:b/>
        </w:rPr>
        <w:t>Criterio di valutazione</w:t>
      </w:r>
      <w:r>
        <w:rPr>
          <w:rFonts w:ascii="Times New Roman" w:hAnsi="Times New Roman"/>
        </w:rPr>
        <w:t>:</w:t>
        <w:tab/>
        <w:tab/>
        <w:t>fino a 2 risposte esatte:</w:t>
        <w:tab/>
        <w:tab/>
        <w:t>esito negativo</w:t>
      </w:r>
    </w:p>
    <w:p>
      <w:pPr>
        <w:pStyle w:val="Normal"/>
        <w:tabs>
          <w:tab w:val="clear" w:pos="708"/>
          <w:tab w:val="left" w:pos="425" w:leader="none"/>
        </w:tabs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>con almeno 3 risposte esatte:</w:t>
        <w:tab/>
        <w:t>esito positivo</w:t>
      </w:r>
    </w:p>
    <w:p>
      <w:pPr>
        <w:pStyle w:val="Normal"/>
        <w:spacing w:lineRule="auto" w:line="259" w:before="0" w:after="1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  <w:r>
        <w:br w:type="page"/>
      </w:r>
    </w:p>
    <w:p>
      <w:pPr>
        <w:pStyle w:val="Normal"/>
        <w:spacing w:lineRule="atLeast" w:lin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tLeast" w:line="240"/>
        <w:rPr>
          <w:rFonts w:ascii="Times New Roman" w:hAnsi="Times New Roman"/>
          <w:sz w:val="24"/>
          <w:highlight w:val="none"/>
          <w:shd w:fill="auto" w:val="clear"/>
        </w:rPr>
      </w:pPr>
      <w:r>
        <w:rPr>
          <w:rFonts w:ascii="Times New Roman" w:hAnsi="Times New Roman"/>
          <w:sz w:val="24"/>
          <w:shd w:fill="auto" w:val="clear"/>
        </w:rPr>
      </w:r>
    </w:p>
    <w:p>
      <w:pPr>
        <w:pStyle w:val="Normal"/>
        <w:spacing w:lineRule="atLeast" w:line="240"/>
        <w:ind w:right="-1" w:hanging="0"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shd w:fill="auto" w:val="clear"/>
        </w:rPr>
        <w:t>1. Quale dei seguenti atti non è soggetto alla procedura del contraddittorio informato ed effettivo di cui all’art. 6-bis della Legge n. 212/2000?</w:t>
      </w:r>
    </w:p>
    <w:p>
      <w:pPr>
        <w:pStyle w:val="ListParagraph"/>
        <w:numPr>
          <w:ilvl w:val="0"/>
          <w:numId w:val="1"/>
        </w:numPr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>L’atto di accertamento esecutivo per omessa dichiarazione</w:t>
      </w:r>
    </w:p>
    <w:p>
      <w:pPr>
        <w:pStyle w:val="ListParagraph"/>
        <w:numPr>
          <w:ilvl w:val="0"/>
          <w:numId w:val="1"/>
        </w:numPr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>L’atto di accertamento esecutivo per omesso versamento</w:t>
      </w:r>
    </w:p>
    <w:p>
      <w:pPr>
        <w:pStyle w:val="ListParagraph"/>
        <w:numPr>
          <w:ilvl w:val="0"/>
          <w:numId w:val="1"/>
        </w:numPr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>L’atto di accertamento esecutivo per infedele dichiarazione</w:t>
      </w:r>
    </w:p>
    <w:p>
      <w:pPr>
        <w:pStyle w:val="Normal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spacing w:lineRule="atLeast" w:line="240"/>
        <w:ind w:right="-1" w:hanging="0"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shd w:fill="auto" w:val="clear"/>
        </w:rPr>
        <w:t>2. Dopo quanto tempo dalla notifica dello “schema d’atto” di cui all’art. 6-bis della Legge n. 212/2000 è possibile emettere l’atto di accertamento esecutivo?</w:t>
      </w:r>
    </w:p>
    <w:p>
      <w:pPr>
        <w:pStyle w:val="ListParagraph"/>
        <w:numPr>
          <w:ilvl w:val="0"/>
          <w:numId w:val="2"/>
        </w:numPr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hd w:fill="auto" w:val="clear"/>
        </w:rPr>
        <w:t>Dopo 60 giorni</w:t>
      </w:r>
    </w:p>
    <w:p>
      <w:pPr>
        <w:pStyle w:val="ListParagraph"/>
        <w:numPr>
          <w:ilvl w:val="0"/>
          <w:numId w:val="2"/>
        </w:numPr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hd w:fill="auto" w:val="clear"/>
        </w:rPr>
        <w:t>Dopo 30 giorni</w:t>
      </w:r>
    </w:p>
    <w:p>
      <w:pPr>
        <w:pStyle w:val="ListParagraph"/>
        <w:numPr>
          <w:ilvl w:val="0"/>
          <w:numId w:val="2"/>
        </w:numPr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hd w:fill="auto" w:val="clear"/>
        </w:rPr>
        <w:t>Dopo 90 giorni</w:t>
      </w:r>
    </w:p>
    <w:p>
      <w:pPr>
        <w:pStyle w:val="Normal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spacing w:lineRule="atLeast" w:line="240"/>
        <w:ind w:right="-1" w:hanging="0"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shd w:fill="auto" w:val="clear"/>
        </w:rPr>
        <w:t>3. L’istituto dell’autotutela disciplinato dalla Legge n. 212/2000, come introdotto dal D.Lgs. n. 219/2023, costituisce un potere che l’Ente deve:</w:t>
      </w:r>
    </w:p>
    <w:p>
      <w:pPr>
        <w:pStyle w:val="ListParagraph"/>
        <w:numPr>
          <w:ilvl w:val="0"/>
          <w:numId w:val="3"/>
        </w:numPr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>gestire sempre obbligatoriamente</w:t>
      </w:r>
    </w:p>
    <w:p>
      <w:pPr>
        <w:pStyle w:val="ListParagraph"/>
        <w:numPr>
          <w:ilvl w:val="0"/>
          <w:numId w:val="3"/>
        </w:numPr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>gestire in maniera obbligatoria limitatamente alle ipotesi di cui all’art. 10-quater della Legge n. 212/2000</w:t>
      </w:r>
    </w:p>
    <w:p>
      <w:pPr>
        <w:pStyle w:val="ListParagraph"/>
        <w:numPr>
          <w:ilvl w:val="0"/>
          <w:numId w:val="3"/>
        </w:numPr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>esercitare sempre in maniera discrezionale</w:t>
      </w:r>
    </w:p>
    <w:p>
      <w:pPr>
        <w:pStyle w:val="Normal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spacing w:lineRule="atLeast" w:line="240"/>
        <w:ind w:right="-1" w:hanging="0"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shd w:fill="auto" w:val="clear"/>
        </w:rPr>
        <w:t>4. L’avviso di accertamento esecutivo privo o carente di motivazione:</w:t>
      </w:r>
    </w:p>
    <w:p>
      <w:pPr>
        <w:pStyle w:val="ListParagraph"/>
        <w:numPr>
          <w:ilvl w:val="0"/>
          <w:numId w:val="4"/>
        </w:numPr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hd w:fill="auto" w:val="clear"/>
        </w:rPr>
        <w:t>può essere sanato con integrazione della motivazione</w:t>
      </w:r>
    </w:p>
    <w:p>
      <w:pPr>
        <w:pStyle w:val="ListParagraph"/>
        <w:numPr>
          <w:ilvl w:val="0"/>
          <w:numId w:val="4"/>
        </w:numPr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hd w:fill="auto" w:val="clear"/>
        </w:rPr>
        <w:t>è comunque legittimo</w:t>
      </w:r>
    </w:p>
    <w:p>
      <w:pPr>
        <w:pStyle w:val="ListParagraph"/>
        <w:numPr>
          <w:ilvl w:val="0"/>
          <w:numId w:val="4"/>
        </w:numPr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hd w:fill="auto" w:val="clear"/>
        </w:rPr>
        <w:t>è nullo</w:t>
      </w:r>
    </w:p>
    <w:p>
      <w:pPr>
        <w:pStyle w:val="Normal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b/>
          <w:shd w:fill="auto" w:val="clear"/>
        </w:rPr>
        <w:t>5. La notifica inesistente dell’atto di accertamento:</w:t>
      </w:r>
    </w:p>
    <w:p>
      <w:pPr>
        <w:pStyle w:val="ListParagraph"/>
        <w:numPr>
          <w:ilvl w:val="0"/>
          <w:numId w:val="5"/>
        </w:numPr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hd w:fill="auto" w:val="clear"/>
        </w:rPr>
        <w:t>si verifica in assenza di collegamento fra destinatario dell’atto e soggetto a cui è stato notificato</w:t>
      </w:r>
    </w:p>
    <w:p>
      <w:pPr>
        <w:pStyle w:val="ListParagraph"/>
        <w:numPr>
          <w:ilvl w:val="0"/>
          <w:numId w:val="5"/>
        </w:numPr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hd w:fill="auto" w:val="clear"/>
        </w:rPr>
        <w:t>è sanabile</w:t>
      </w:r>
    </w:p>
    <w:p>
      <w:pPr>
        <w:pStyle w:val="ListParagraph"/>
        <w:numPr>
          <w:ilvl w:val="0"/>
          <w:numId w:val="5"/>
        </w:numPr>
        <w:jc w:val="both"/>
        <w:rPr>
          <w:highlight w:val="none"/>
          <w:shd w:fill="auto" w:val="clear"/>
        </w:rPr>
      </w:pPr>
      <w:r>
        <w:rPr>
          <w:rFonts w:eastAsia="Times New Roman" w:ascii="Times New Roman" w:hAnsi="Times New Roman"/>
          <w:shd w:fill="auto" w:val="clear"/>
        </w:rPr>
        <w:t>si configura se l’attività di notifica è priva degli elementi costitutivi essenziali</w:t>
      </w:r>
    </w:p>
    <w:sectPr>
      <w:headerReference w:type="default" r:id="rId2"/>
      <w:type w:val="nextPage"/>
      <w:pgSz w:w="11906" w:h="16838"/>
      <w:pgMar w:left="1134" w:right="1134" w:gutter="0" w:header="708" w:top="141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ms Rmn">
    <w:altName w:val="Times New Roman"/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819"/>
        <w:tab w:val="clear" w:pos="9638"/>
        <w:tab w:val="left" w:pos="3170" w:leader="none"/>
      </w:tabs>
      <w:rPr/>
    </w:pPr>
    <w:r>
      <w:rPr/>
      <w:drawing>
        <wp:inline distT="0" distB="0" distL="0" distR="0">
          <wp:extent cx="2316480" cy="454025"/>
          <wp:effectExtent l="0" t="0" r="0" b="0"/>
          <wp:docPr id="1" name="Immagine 2" descr="Logodefinitivo_formazionemaggioli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Logodefinitivo_formazionemaggioli_20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45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778b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qFormat/>
    <w:rsid w:val="00b64a8e"/>
    <w:pPr>
      <w:keepNext w:val="true"/>
      <w:jc w:val="center"/>
      <w:outlineLvl w:val="0"/>
    </w:pPr>
    <w:rPr>
      <w:rFonts w:ascii="Times New Roman" w:hAnsi="Times New Roman" w:eastAsia="Times New Roman"/>
      <w:b/>
      <w:bCs/>
      <w:sz w:val="28"/>
      <w:szCs w:val="24"/>
      <w:lang w:eastAsia="it-IT"/>
    </w:rPr>
  </w:style>
  <w:style w:type="paragraph" w:styleId="Heading4">
    <w:name w:val="Heading 4"/>
    <w:basedOn w:val="Normal"/>
    <w:next w:val="Normal"/>
    <w:link w:val="Titolo4Carattere"/>
    <w:qFormat/>
    <w:rsid w:val="00b64a8e"/>
    <w:pPr>
      <w:keepNext w:val="true"/>
      <w:pBdr>
        <w:top w:val="dashSmallGap" w:sz="8" w:space="1" w:color="000000"/>
        <w:left w:val="dashSmallGap" w:sz="8" w:space="4" w:color="000000"/>
        <w:bottom w:val="dashSmallGap" w:sz="8" w:space="1" w:color="000000"/>
        <w:right w:val="dashSmallGap" w:sz="8" w:space="4" w:color="000000"/>
      </w:pBdr>
      <w:tabs>
        <w:tab w:val="clear" w:pos="708"/>
        <w:tab w:val="left" w:pos="425" w:leader="none"/>
      </w:tabs>
      <w:outlineLvl w:val="3"/>
    </w:pPr>
    <w:rPr>
      <w:rFonts w:ascii="Tms Rmn" w:hAnsi="Tms Rmn" w:eastAsia="Times New Roman"/>
      <w:sz w:val="28"/>
      <w:szCs w:val="20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qFormat/>
    <w:rsid w:val="0038778b"/>
    <w:rPr>
      <w:rFonts w:ascii="Comic Sans MS" w:hAnsi="Comic Sans MS" w:eastAsia="Times New Roman" w:cs="Times New Roman"/>
      <w:b/>
      <w:sz w:val="28"/>
      <w:szCs w:val="20"/>
      <w:lang w:eastAsia="it-IT"/>
    </w:rPr>
  </w:style>
  <w:style w:type="character" w:styleId="Titolo1Carattere" w:customStyle="1">
    <w:name w:val="Titolo 1 Carattere"/>
    <w:basedOn w:val="DefaultParagraphFont"/>
    <w:link w:val="Heading1"/>
    <w:qFormat/>
    <w:rsid w:val="00b64a8e"/>
    <w:rPr>
      <w:rFonts w:ascii="Times New Roman" w:hAnsi="Times New Roman" w:eastAsia="Times New Roman" w:cs="Times New Roman"/>
      <w:b/>
      <w:bCs/>
      <w:sz w:val="28"/>
      <w:szCs w:val="24"/>
      <w:lang w:eastAsia="it-IT"/>
    </w:rPr>
  </w:style>
  <w:style w:type="character" w:styleId="Titolo4Carattere" w:customStyle="1">
    <w:name w:val="Titolo 4 Carattere"/>
    <w:basedOn w:val="DefaultParagraphFont"/>
    <w:link w:val="Heading4"/>
    <w:qFormat/>
    <w:rsid w:val="00b64a8e"/>
    <w:rPr>
      <w:rFonts w:ascii="Tms Rmn" w:hAnsi="Tms Rmn" w:eastAsia="Times New Roman" w:cs="Times New Roman"/>
      <w:sz w:val="28"/>
      <w:szCs w:val="20"/>
      <w:lang w:eastAsia="it-IT"/>
    </w:rPr>
  </w:style>
  <w:style w:type="character" w:styleId="IntestazioneCarattere" w:customStyle="1">
    <w:name w:val="Intestazione Carattere"/>
    <w:basedOn w:val="DefaultParagraphFont"/>
    <w:link w:val="Header"/>
    <w:uiPriority w:val="99"/>
    <w:semiHidden/>
    <w:qFormat/>
    <w:rsid w:val="00b64a8e"/>
    <w:rPr>
      <w:rFonts w:ascii="Calibri" w:hAnsi="Calibri" w:eastAsia="Calibri" w:cs="Times New Roman"/>
    </w:rPr>
  </w:style>
  <w:style w:type="character" w:styleId="PidipaginaCarattere" w:customStyle="1">
    <w:name w:val="Piè di pagina Carattere"/>
    <w:basedOn w:val="DefaultParagraphFont"/>
    <w:link w:val="Footer"/>
    <w:uiPriority w:val="99"/>
    <w:semiHidden/>
    <w:qFormat/>
    <w:rsid w:val="00b64a8e"/>
    <w:rPr>
      <w:rFonts w:ascii="Calibri" w:hAnsi="Calibri" w:eastAsia="Calibri"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CorpotestoCarattere"/>
    <w:unhideWhenUsed/>
    <w:rsid w:val="0038778b"/>
    <w:pPr>
      <w:jc w:val="center"/>
    </w:pPr>
    <w:rPr>
      <w:rFonts w:ascii="Comic Sans MS" w:hAnsi="Comic Sans MS" w:eastAsia="Times New Roman"/>
      <w:b/>
      <w:sz w:val="28"/>
      <w:szCs w:val="20"/>
      <w:lang w:eastAsia="it-IT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8778b"/>
    <w:pPr>
      <w:spacing w:before="0" w:after="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semiHidden/>
    <w:unhideWhenUsed/>
    <w:rsid w:val="00b64a8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semiHidden/>
    <w:unhideWhenUsed/>
    <w:rsid w:val="00b64a8e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64a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4AF26-E87C-4303-AB7E-1D3A678D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sFree_Office_for_Docs_and_PDF/7.4.2.3$Windows_X86_64 LibreOffice_project/382eef1f22670f7f4118c8c2dd222ec7ad009daf</Application>
  <AppVersion>15.0000</AppVersion>
  <Pages>2</Pages>
  <Words>262</Words>
  <Characters>1609</Characters>
  <CharactersWithSpaces>1847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2020-10-24T07:14:00Z</dcterms:created>
  <dc:creator>Donato</dc:creator>
  <dc:description/>
  <dc:language>it-IT</dc:language>
  <cp:lastModifiedBy/>
  <dcterms:modified xsi:type="dcterms:W3CDTF">2024-11-14T15:00:35Z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