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 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 xml:space="preserve">Conguaglio 2024, assistenza fiscale e ultime novità per i sostituti d’imposta </w:t>
      </w:r>
    </w:p>
    <w:p>
      <w:pPr>
        <w:pStyle w:val="Heading1"/>
        <w:rPr>
          <w:iCs/>
          <w:color w:val="C00000"/>
          <w:sz w:val="22"/>
          <w:szCs w:val="22"/>
        </w:rPr>
      </w:pPr>
      <w:r>
        <w:rPr>
          <w:iCs/>
          <w:color w:val="C00000"/>
          <w:sz w:val="22"/>
          <w:szCs w:val="22"/>
        </w:rPr>
        <w:t>Normativa, prassi amministrativa e casistica operativa</w:t>
      </w:r>
    </w:p>
    <w:p>
      <w:pPr>
        <w:pStyle w:val="Heading1"/>
        <w:rPr>
          <w:iCs/>
          <w:sz w:val="22"/>
        </w:rPr>
      </w:pPr>
      <w:r>
        <w:rPr>
          <w:iCs/>
          <w:sz w:val="22"/>
        </w:rPr>
        <w:t>Giovedì 5 dicembre 2024, ore 9.30-12.30</w:t>
      </w:r>
    </w:p>
    <w:p>
      <w:pPr>
        <w:pStyle w:val="Heading1"/>
        <w:jc w:val="left"/>
        <w:rPr>
          <w:b w:val="false"/>
          <w:b w:val="false"/>
          <w:bCs w:val="false"/>
          <w:iCs/>
          <w:sz w:val="22"/>
        </w:rPr>
      </w:pPr>
      <w:r>
        <w:rPr>
          <w:b w:val="false"/>
          <w:bCs w:val="false"/>
          <w:iCs/>
          <w:sz w:val="22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1. A quali soggetti spetta il nuovo bonus di 100 euro?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Solo ai titolari di reddito di lavoro dipendente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Ai titolari di reddito di lavoro dipendente e di taluni redditi assimilati a quelli di lavoro dipendente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Ai titolari di reddito di lavoro dipendente e a tutti i titolari di redditi assimilati a quelli di lavoro dipendente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2. Come si effettua il conguaglio a debito in caso di recupero del trattamento integrativo non spettante?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In un’unica soluzione, in sede di conguaglio di fine anno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In un massimo di 11 rate mensili a partire dal mese di effettuazione del conguaglio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 xml:space="preserve">Per somme maggiori di 60 euro, in un massimo di 8 rate mensili a partire dal mese di effettuazione del conguaglio 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3. In caso di restituzione di somme assoggettate a tassazione in anni precedenti, a decorrere dal 1° gennaio 2020, la restituzione deve avvenire al netto o al lordo dell’imposta?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Sempre al netto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Sempre al netto, a meno che non si tratti di somme assoggettate a tassazione separata</w:t>
      </w:r>
    </w:p>
    <w:p>
      <w:pPr>
        <w:pStyle w:val="ListParagraph"/>
        <w:numPr>
          <w:ilvl w:val="0"/>
          <w:numId w:val="3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Di regola al netto, a meno che non si concordi con il percettore la restituzione al lordo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4. Quale è il trattamento fiscale delle somme rimborsate al dipendente?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di regola sempre soggette a tassazione, salvo espresse previsioni di legge e a meno che non si tratti di rimborsi effettuati nell’interesse del datore di lavoro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Identico a quello dei compensi in natura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sempre esenti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5. Quale è la tassazione dei redditi degli eredi dei dipendenti?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sempre a tassazione ordinaria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a tassazione ordinaria in caso di emolumenti correnti; sono a tassazione separata negli altri casi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Sono sempre a tassazione separata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sFree_Office_for_Docs_and_PDF/7.4.2.3$Windows_X86_64 LibreOffice_project/382eef1f22670f7f4118c8c2dd222ec7ad009daf</Application>
  <AppVersion>15.0000</AppVersion>
  <Pages>2</Pages>
  <Words>358</Words>
  <Characters>1888</Characters>
  <CharactersWithSpaces>2223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2020-12-07T09:12:00Z</dcterms:created>
  <dc:creator>Donato</dc:creator>
  <dc:description/>
  <dc:language>it-IT</dc:language>
  <cp:lastModifiedBy/>
  <dcterms:modified xsi:type="dcterms:W3CDTF">2025-01-09T15:44:18Z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