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 w:val="false"/>
          <w:b w:val="false"/>
          <w:iCs/>
          <w:sz w:val="24"/>
          <w:u w:val="single"/>
        </w:rPr>
      </w:pPr>
      <w:r>
        <w:rPr>
          <w:b w:val="false"/>
          <w:iCs/>
          <w:sz w:val="22"/>
          <w:u w:val="single"/>
        </w:rPr>
        <w:t>Corso on line in diretta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 xml:space="preserve">La Certificazione Unica 2025 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 xml:space="preserve">e le novità fiscali per i sostituti d’imposta </w:t>
      </w:r>
    </w:p>
    <w:p>
      <w:pPr>
        <w:pStyle w:val="Heading1"/>
        <w:rPr>
          <w:iCs/>
          <w:color w:val="C00000"/>
          <w:sz w:val="20"/>
          <w:szCs w:val="20"/>
        </w:rPr>
      </w:pPr>
      <w:r>
        <w:rPr>
          <w:iCs/>
          <w:color w:val="C00000"/>
          <w:sz w:val="22"/>
          <w:szCs w:val="22"/>
        </w:rPr>
        <w:t>Guida alla compilazione dei quadri fiscali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iCs/>
          <w:szCs w:val="24"/>
          <w:lang w:eastAsia="it-IT"/>
        </w:rPr>
      </w:pPr>
      <w:r>
        <w:rPr>
          <w:rFonts w:eastAsia="Times New Roman" w:ascii="Times New Roman" w:hAnsi="Times New Roman"/>
          <w:b/>
          <w:bCs/>
          <w:iCs/>
          <w:szCs w:val="24"/>
          <w:lang w:eastAsia="it-IT"/>
        </w:rPr>
        <w:t>Venerdì 7 febbraio 2025, ore 9.00-13.00</w:t>
      </w:r>
    </w:p>
    <w:p>
      <w:pPr>
        <w:pStyle w:val="Heading1"/>
        <w:jc w:val="left"/>
        <w:rPr>
          <w:b w:val="false"/>
          <w:b w:val="false"/>
          <w:bCs w:val="false"/>
          <w:iCs/>
          <w:sz w:val="22"/>
        </w:rPr>
      </w:pPr>
      <w:r>
        <w:rPr>
          <w:b w:val="false"/>
          <w:bCs w:val="false"/>
          <w:iCs/>
          <w:sz w:val="22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Cs w:val="false"/>
          <w:iCs/>
          <w:color w:val="002060"/>
          <w:sz w:val="32"/>
          <w:u w:val="single"/>
        </w:rPr>
      </w:pPr>
      <w:r>
        <w:rPr>
          <w:bCs w:val="false"/>
          <w:iCs/>
          <w:color w:val="002060"/>
          <w:sz w:val="32"/>
          <w:u w:val="single"/>
        </w:rPr>
        <w:t>Test di verifica dell’apprendimento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Heading1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>
      <w:pPr>
        <w:pStyle w:val="Heading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appartenenza  </w:t>
      </w:r>
      <w:r>
        <w:rPr>
          <w:rFonts w:ascii="Times New Roman" w:hAnsi="Times New Roman"/>
          <w:sz w:val="22"/>
        </w:rPr>
        <w:t>________________________________________________________________</w:t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/>
        <w:t>*</w:t>
        <w:tab/>
        <w:tab/>
      </w:r>
      <w:r>
        <w:rPr>
          <w:rFonts w:ascii="Times New Roman" w:hAnsi="Times New Roman"/>
          <w:b/>
        </w:rPr>
        <w:t>Modalità di compilazione</w:t>
      </w:r>
      <w:r>
        <w:rPr>
          <w:rFonts w:ascii="Times New Roman" w:hAnsi="Times New Roman"/>
        </w:rPr>
        <w:t>:</w:t>
        <w:tab/>
        <w:tab/>
        <w:t>per ogni quesito, barrare una sola risposta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Tempo a disposizione</w:t>
      </w:r>
      <w:r>
        <w:rPr>
          <w:rFonts w:ascii="Times New Roman" w:hAnsi="Times New Roman"/>
        </w:rPr>
        <w:t>:</w:t>
        <w:tab/>
        <w:tab/>
        <w:tab/>
        <w:t>10 minuti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Criterio di valutazione</w:t>
      </w:r>
      <w:r>
        <w:rPr>
          <w:rFonts w:ascii="Times New Roman" w:hAnsi="Times New Roman"/>
        </w:rPr>
        <w:t>:</w:t>
        <w:tab/>
        <w:tab/>
        <w:t>fino a 2 risposte esatte:</w:t>
        <w:tab/>
        <w:tab/>
        <w:t>esito negativo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con almeno 3 risposte esatte:</w:t>
        <w:tab/>
        <w:t>esito positivo</w:t>
      </w:r>
    </w:p>
    <w:p>
      <w:pPr>
        <w:pStyle w:val="Normal"/>
        <w:spacing w:lineRule="auto" w:line="259" w:before="0" w:after="1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1. Il trattamento integrativo del reddito di lavoro dipendente spetta ai soggetti: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con imposta lorda capiente rispetto alle sole detrazioni di lavoro dipendente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con imposta lorda capiente rispetto alle detrazioni per carichi di famiglia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con imposta lorda incapiente rispetto a qualsiasi tipologia di detrazione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2. Le detrazioni per figli a carico:</w:t>
      </w:r>
    </w:p>
    <w:p>
      <w:pPr>
        <w:pStyle w:val="ListParagraph"/>
        <w:numPr>
          <w:ilvl w:val="0"/>
          <w:numId w:val="1"/>
        </w:numPr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spettano sempre in presenza del requisito reddituale</w:t>
      </w:r>
    </w:p>
    <w:p>
      <w:pPr>
        <w:pStyle w:val="ListParagraph"/>
        <w:numPr>
          <w:ilvl w:val="0"/>
          <w:numId w:val="1"/>
        </w:numPr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spettano solo per i figli di età almeno pari a 21 anni</w:t>
      </w:r>
    </w:p>
    <w:p>
      <w:pPr>
        <w:pStyle w:val="ListParagraph"/>
        <w:numPr>
          <w:ilvl w:val="0"/>
          <w:numId w:val="1"/>
        </w:numPr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spettano sempre per i figli disabili e per quelli di età non superiore a 3 anni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3. In caso di recupero del trattamento integrativo non spettante: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 rateizza sempre l’importo a debito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 rateizza l’importo a debito solo in sede di conguaglio di fine anno, se maggiore di 60 euro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 rateizza l’importo a debito, se maggiore di 60 euro, sia in sede di conguaglio di fine anno che in sede di fine rapporto</w:t>
      </w:r>
    </w:p>
    <w:p>
      <w:pPr>
        <w:pStyle w:val="Normal"/>
        <w:jc w:val="both"/>
        <w:rPr>
          <w:rFonts w:ascii="Times New Roman" w:hAnsi="Times New Roman" w:eastAsia="Times New Roman"/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4. La tassazione dei redditi degli eredi: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è sempre separata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è di tipo ordinario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è di tipo ordinario per gli emolumenti correnti (ultima mensilità, rateo di tredicesima e altro) e invece separata per le altre somme retributive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5. La restituzione di somme tassate in anni precedenti, al netto della ritenuta subita: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costituisce un onere deducibile per il dipendente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dà diritto al credito d’imposta del 30% sulle somme ricevute in favore del sostituto d’imposta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costituisce un onere detraibile per il dipendente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170" w:leader="none"/>
      </w:tabs>
      <w:rPr/>
    </w:pPr>
    <w:r>
      <w:rPr/>
      <w:drawing>
        <wp:inline distT="0" distB="0" distL="0" distR="0">
          <wp:extent cx="2316480" cy="454025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78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64a8e"/>
    <w:pPr>
      <w:keepNext w:val="true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b64a8e"/>
    <w:pPr>
      <w:keepNext w:val="true"/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tabs>
        <w:tab w:val="clear" w:pos="708"/>
        <w:tab w:val="left" w:pos="425" w:leader="none"/>
      </w:tabs>
      <w:outlineLvl w:val="3"/>
    </w:pPr>
    <w:rPr>
      <w:rFonts w:ascii="Tms Rmn" w:hAnsi="Tms Rmn" w:eastAsia="Times New Roman"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38778b"/>
    <w:rPr>
      <w:rFonts w:ascii="Comic Sans MS" w:hAnsi="Comic Sans MS" w:eastAsia="Times New Roman" w:cs="Times New Roman"/>
      <w:b/>
      <w:sz w:val="28"/>
      <w:szCs w:val="20"/>
      <w:lang w:eastAsia="it-IT"/>
    </w:rPr>
  </w:style>
  <w:style w:type="character" w:styleId="Titolo1Carattere" w:customStyle="1">
    <w:name w:val="Titolo 1 Carattere"/>
    <w:basedOn w:val="DefaultParagraphFont"/>
    <w:link w:val="Heading1"/>
    <w:qFormat/>
    <w:rsid w:val="00b64a8e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Titolo4Carattere" w:customStyle="1">
    <w:name w:val="Titolo 4 Carattere"/>
    <w:basedOn w:val="DefaultParagraphFont"/>
    <w:link w:val="Heading4"/>
    <w:qFormat/>
    <w:rsid w:val="00b64a8e"/>
    <w:rPr>
      <w:rFonts w:ascii="Tms Rmn" w:hAnsi="Tms Rmn" w:eastAsia="Times New Roman" w:cs="Times New Roman"/>
      <w:sz w:val="28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64a8e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64a8e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testoCarattere"/>
    <w:unhideWhenUsed/>
    <w:rsid w:val="0038778b"/>
    <w:pPr>
      <w:jc w:val="center"/>
    </w:pPr>
    <w:rPr>
      <w:rFonts w:ascii="Comic Sans MS" w:hAnsi="Comic Sans MS" w:eastAsia="Times New Roman"/>
      <w:b/>
      <w:sz w:val="28"/>
      <w:szCs w:val="20"/>
      <w:lang w:eastAsia="it-IT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778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sFree_Office_for_Docs_and_PDF/7.4.2.3$Windows_X86_64 LibreOffice_project/382eef1f22670f7f4118c8c2dd222ec7ad009daf</Application>
  <AppVersion>15.0000</AppVersion>
  <Pages>2</Pages>
  <Words>315</Words>
  <Characters>1689</Characters>
  <CharactersWithSpaces>1980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2021-02-11T18:21:00Z</dcterms:created>
  <dc:creator>Donato</dc:creator>
  <dc:description/>
  <dc:language>it-IT</dc:language>
  <cp:lastModifiedBy/>
  <dcterms:modified xsi:type="dcterms:W3CDTF">2025-02-17T10:36:15Z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