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 w:val="false"/>
          <w:b w:val="false"/>
          <w:iCs/>
          <w:sz w:val="24"/>
          <w:u w:val="single"/>
        </w:rPr>
      </w:pPr>
      <w:r>
        <w:rPr>
          <w:b w:val="false"/>
          <w:iCs/>
          <w:sz w:val="22"/>
          <w:u w:val="single"/>
        </w:rPr>
        <w:t>Corso on line in diretta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>La gestione dell’IVA nelle Amministrazioni e Società pubbliche</w:t>
      </w:r>
    </w:p>
    <w:p>
      <w:pPr>
        <w:pStyle w:val="Heading1"/>
        <w:rPr>
          <w:iCs/>
          <w:color w:val="C00000"/>
          <w:sz w:val="22"/>
          <w:szCs w:val="22"/>
        </w:rPr>
      </w:pPr>
      <w:r>
        <w:rPr>
          <w:iCs/>
          <w:color w:val="C00000"/>
          <w:sz w:val="22"/>
          <w:szCs w:val="22"/>
        </w:rPr>
        <w:t>La dichiarazione IVA 2025 (anno d’imposta 2024)</w:t>
      </w:r>
    </w:p>
    <w:p>
      <w:pPr>
        <w:pStyle w:val="Heading1"/>
        <w:rPr>
          <w:iCs/>
          <w:sz w:val="22"/>
        </w:rPr>
      </w:pPr>
      <w:r>
        <w:rPr>
          <w:iCs/>
          <w:sz w:val="22"/>
        </w:rPr>
        <w:t>Venerdì 14 febbraio 2025, ore 10.00-12.00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Cs w:val="false"/>
          <w:iCs/>
          <w:color w:val="002060"/>
          <w:sz w:val="32"/>
          <w:u w:val="single"/>
        </w:rPr>
      </w:pPr>
      <w:r>
        <w:rPr>
          <w:bCs w:val="false"/>
          <w:iCs/>
          <w:color w:val="002060"/>
          <w:sz w:val="32"/>
          <w:u w:val="single"/>
        </w:rPr>
        <w:t>Test di verifica dell’apprendimento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Heading1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>
      <w:pPr>
        <w:pStyle w:val="Heading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appartenenza  </w:t>
      </w:r>
      <w:r>
        <w:rPr>
          <w:rFonts w:ascii="Times New Roman" w:hAnsi="Times New Roman"/>
          <w:sz w:val="22"/>
        </w:rPr>
        <w:t>________________________________________________________________</w:t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/>
        <w:t>*</w:t>
        <w:tab/>
        <w:tab/>
      </w:r>
      <w:r>
        <w:rPr>
          <w:rFonts w:ascii="Times New Roman" w:hAnsi="Times New Roman"/>
          <w:b/>
        </w:rPr>
        <w:t>Modalità di compilazione</w:t>
      </w:r>
      <w:r>
        <w:rPr>
          <w:rFonts w:ascii="Times New Roman" w:hAnsi="Times New Roman"/>
        </w:rPr>
        <w:t>:</w:t>
        <w:tab/>
        <w:tab/>
        <w:t>per ogni quesito, barrare una sola risposta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Tempo a disposizione</w:t>
      </w:r>
      <w:r>
        <w:rPr>
          <w:rFonts w:ascii="Times New Roman" w:hAnsi="Times New Roman"/>
        </w:rPr>
        <w:t>:</w:t>
        <w:tab/>
        <w:tab/>
        <w:tab/>
        <w:t>10 minuti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Criterio di valutazione</w:t>
      </w:r>
      <w:r>
        <w:rPr>
          <w:rFonts w:ascii="Times New Roman" w:hAnsi="Times New Roman"/>
        </w:rPr>
        <w:t>:</w:t>
        <w:tab/>
        <w:tab/>
        <w:t>fino a 2 risposte esatte:</w:t>
        <w:tab/>
        <w:tab/>
        <w:t>esito negativo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con almeno 3 risposte esatte:</w:t>
        <w:tab/>
        <w:t>esito positivo</w:t>
      </w:r>
    </w:p>
    <w:p>
      <w:pPr>
        <w:pStyle w:val="Normal"/>
        <w:spacing w:lineRule="auto" w:line="259" w:before="0" w:after="1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rPr>
          <w:rFonts w:ascii="Times New Roman" w:hAnsi="Times New Roman"/>
          <w:sz w:val="24"/>
          <w:highlight w:val="none"/>
          <w:shd w:fill="FFFFFF" w:val="clear"/>
        </w:rPr>
      </w:pPr>
      <w:r>
        <w:rPr>
          <w:rFonts w:ascii="Times New Roman" w:hAnsi="Times New Roman"/>
          <w:sz w:val="24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1. La Legge di stabilità per il 2015 (art. 1, commi 629 – 633, Legge n. 190/2014), al fine di contrastare l’evasione dell’IVA, ha previsto per i Comuni quando acquistano beni e servizi: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l’obbligo dello “</w:t>
      </w:r>
      <w:r>
        <w:rPr>
          <w:rFonts w:ascii="Times New Roman" w:hAnsi="Times New Roman"/>
          <w:i/>
          <w:iCs/>
          <w:shd w:fill="FFFFFF" w:val="clear"/>
        </w:rPr>
        <w:t>split payment</w:t>
      </w:r>
      <w:r>
        <w:rPr>
          <w:rFonts w:ascii="Times New Roman" w:hAnsi="Times New Roman"/>
          <w:shd w:fill="FFFFFF" w:val="clear"/>
        </w:rPr>
        <w:t>”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la possibilità dello “</w:t>
      </w:r>
      <w:r>
        <w:rPr>
          <w:rFonts w:ascii="Times New Roman" w:hAnsi="Times New Roman"/>
          <w:i/>
          <w:iCs/>
          <w:shd w:fill="FFFFFF" w:val="clear"/>
        </w:rPr>
        <w:t>split payment</w:t>
      </w:r>
      <w:r>
        <w:rPr>
          <w:rFonts w:ascii="Times New Roman" w:hAnsi="Times New Roman"/>
          <w:shd w:fill="FFFFFF" w:val="clear"/>
        </w:rPr>
        <w:t>”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l’esclusione da IVA di tutte le operazioni loro fatturate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2. Il comma 4 dell’art. 4 del Decreto IVA applicato ai Comuni considera: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 xml:space="preserve">oggettivamente commerciali tutta una serie di attività 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 xml:space="preserve">escluse da IVA tutte le attività commerciali svolte 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 xml:space="preserve">esenti IVA tutte le attività svolte 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3. In ambito commerciale se l’Ente Locale per la stessa attività svolge sia operazioni soggette ad IVA che operazioni esenti: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l’IVA sugli acuisti è tutta indetraibile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l’IVA sugli acquisti è tutta detraibile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  <w:t>l’IVA sugli acquisti è detraibile in base al pro-rata di detraibilità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4. Per la contabilità separata che dà diritto alla detrazione dell’IVA sugli acquisti i Comuni devono: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rilevare le attività rilevanti ai fini IVA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rilevare le attività rilevanti ai fini IVA e riportare nei capitoli di bilancio "servizio rilevante ai fini IVA"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non far nulla</w:t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FFFFFF" w:val="clear"/>
        </w:rPr>
      </w:pPr>
      <w:r>
        <w:rPr>
          <w:rFonts w:ascii="Times New Roman" w:hAnsi="Times New Roman"/>
          <w:shd w:fill="FFFFFF" w:val="clear"/>
        </w:rPr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b/>
          <w:shd w:fill="FFFFFF" w:val="clear"/>
        </w:rPr>
        <w:t>5. L’Ente Locale nell’ambito dell’attività istituzionale (funzione di pubblica autorità) è un soggetto passivo IVA?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Si, perché svolge attività economica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 xml:space="preserve">No, perché nel caso di funzioni di pubblica autorità non si esercita attività economica 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FFFFFF" w:val="clear"/>
        </w:rPr>
      </w:pPr>
      <w:r>
        <w:rPr>
          <w:rFonts w:eastAsia="Times New Roman" w:ascii="Times New Roman" w:hAnsi="Times New Roman"/>
          <w:shd w:fill="FFFFFF" w:val="clear"/>
        </w:rPr>
        <w:t>Si, infatti l’IVA sugli acquisti in ambito istituzionale è detraibile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170" w:leader="none"/>
      </w:tabs>
      <w:rPr/>
    </w:pPr>
    <w:r>
      <w:rPr/>
      <w:drawing>
        <wp:inline distT="0" distB="0" distL="0" distR="0">
          <wp:extent cx="2316480" cy="454025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78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64a8e"/>
    <w:pPr>
      <w:keepNext w:val="true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b64a8e"/>
    <w:pPr>
      <w:keepNext w:val="true"/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tabs>
        <w:tab w:val="clear" w:pos="708"/>
        <w:tab w:val="left" w:pos="425" w:leader="none"/>
      </w:tabs>
      <w:outlineLvl w:val="3"/>
    </w:pPr>
    <w:rPr>
      <w:rFonts w:ascii="Tms Rmn" w:hAnsi="Tms Rmn" w:eastAsia="Times New Roman"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38778b"/>
    <w:rPr>
      <w:rFonts w:ascii="Comic Sans MS" w:hAnsi="Comic Sans MS" w:eastAsia="Times New Roman" w:cs="Times New Roman"/>
      <w:b/>
      <w:sz w:val="28"/>
      <w:szCs w:val="20"/>
      <w:lang w:eastAsia="it-IT"/>
    </w:rPr>
  </w:style>
  <w:style w:type="character" w:styleId="Titolo1Carattere" w:customStyle="1">
    <w:name w:val="Titolo 1 Carattere"/>
    <w:basedOn w:val="DefaultParagraphFont"/>
    <w:link w:val="Heading1"/>
    <w:qFormat/>
    <w:rsid w:val="00b64a8e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Titolo4Carattere" w:customStyle="1">
    <w:name w:val="Titolo 4 Carattere"/>
    <w:basedOn w:val="DefaultParagraphFont"/>
    <w:link w:val="Heading4"/>
    <w:qFormat/>
    <w:rsid w:val="00b64a8e"/>
    <w:rPr>
      <w:rFonts w:ascii="Tms Rmn" w:hAnsi="Tms Rmn" w:eastAsia="Times New Roman" w:cs="Times New Roman"/>
      <w:sz w:val="28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64a8e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64a8e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testoCarattere"/>
    <w:unhideWhenUsed/>
    <w:rsid w:val="0038778b"/>
    <w:pPr>
      <w:jc w:val="center"/>
    </w:pPr>
    <w:rPr>
      <w:rFonts w:ascii="Comic Sans MS" w:hAnsi="Comic Sans MS" w:eastAsia="Times New Roman"/>
      <w:b/>
      <w:sz w:val="28"/>
      <w:szCs w:val="20"/>
      <w:lang w:eastAsia="it-IT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778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sFree_Office_for_Docs_and_PDF/7.4.2.3$Windows_X86_64 LibreOffice_project/382eef1f22670f7f4118c8c2dd222ec7ad009daf</Application>
  <AppVersion>15.0000</AppVersion>
  <Pages>2</Pages>
  <Words>303</Words>
  <Characters>1717</Characters>
  <CharactersWithSpaces>2000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2020-12-03T17:01:00Z</dcterms:created>
  <dc:creator>Donato</dc:creator>
  <dc:description/>
  <dc:language>it-IT</dc:language>
  <cp:lastModifiedBy/>
  <dcterms:modified xsi:type="dcterms:W3CDTF">2025-02-25T15:25:04Z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