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Corso on line in diretta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  <w:t xml:space="preserve">Il riaccertamento ordinario dei residui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2"/>
          <w:shd w:fill="auto" w:val="clear"/>
        </w:rPr>
        <w:t xml:space="preserve">Esemplificazioni operative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Venerdì 26 gennaio 2024, ore 10.00-12.30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32"/>
          <w:u w:val="single"/>
          <w:shd w:fill="auto" w:val="clear"/>
        </w:rPr>
        <w:t xml:space="preserve">Test di verifica dell’apprendimento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Cognome  ___________________________   Nome  _________________________</w:t>
      </w:r>
    </w:p>
    <w:p>
      <w:pPr>
        <w:keepNext w:val="true"/>
        <w:tabs>
          <w:tab w:val="left" w:pos="4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tabs>
          <w:tab w:val="left" w:pos="42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Ente di appartenenza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Modalità di compilazione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  <w:tab/>
        <w:tab/>
        <w:t xml:space="preserve">per ogni quesito, barrare una sola risposta</w:t>
      </w: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*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Tempo a disposizione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  <w:tab/>
        <w:tab/>
        <w:tab/>
        <w:t xml:space="preserve">10 minuti</w:t>
      </w: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*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Criterio di valutazione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  <w:tab/>
        <w:tab/>
        <w:t xml:space="preserve">fino a 2 risposte esatte:</w:t>
        <w:tab/>
        <w:tab/>
        <w:t xml:space="preserve">esito negativo</w:t>
      </w: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con almeno 3 risposte esatte:</w:t>
        <w:tab/>
        <w:t xml:space="preserve">esito positivo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1. Sulla delibera di Giunta di riaccertamento ordinario dei residui deve essere richiesto il parere dell’organo di revisione?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Si, prima della deliberazione (sulla proposta di delibera)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Si, dopo la deliberazione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Solo se è previsto nel regolamento di contabilità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 L’elenco dei crediti inesigibili, stralciati dal conto del bilancio, sino al compimento dei termini di prescrizione deve essere: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allegato al rendiconto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depositato presso il tesoriere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depositato presso il responsabile del servizio finanziario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 In data 31.12 è possibile conservare a residuo passivo un impegno di parte corrente relativo ad un acquisto di beni non effettuato e nemmeno ordinato?</w:t>
      </w:r>
    </w:p>
    <w:p>
      <w:pPr>
        <w:numPr>
          <w:ilvl w:val="0"/>
          <w:numId w:val="20"/>
        </w:numPr>
        <w:spacing w:before="0" w:after="0" w:line="240"/>
        <w:ind w:right="-1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</w:t>
      </w:r>
    </w:p>
    <w:p>
      <w:pPr>
        <w:numPr>
          <w:ilvl w:val="0"/>
          <w:numId w:val="20"/>
        </w:numPr>
        <w:spacing w:before="0" w:after="0" w:line="240"/>
        <w:ind w:right="-1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</w:t>
      </w:r>
    </w:p>
    <w:p>
      <w:pPr>
        <w:numPr>
          <w:ilvl w:val="0"/>
          <w:numId w:val="20"/>
        </w:numPr>
        <w:spacing w:before="0" w:after="0" w:line="240"/>
        <w:ind w:right="-1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Si, solo se inferiore a 1.000 €</w:t>
      </w: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4. Il Fondo pluriennale vincolato di spesa dell’esercizio 2023: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deve essere uguale al Fondo pluriennale vincolato di spesa del 2022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deve essere uguale al Fondo pluriennale vincolato di spesa del 2024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deve essere uguale al Fondo pluriennale vincolato di entrata del 2024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 In sede di riaccertamento ordinario, un accertamento ed un impegno di competenza correlati e non esigibili al 31.12: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vengono conservati come residuo attivo e come residuo passivo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l’accertamento viene conservato a residuo attivo e l’impegno viene reimputato con Fondo pluriennale vincolato 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vengono reimputati all’esercizio nel quale diverranno esigibili, senza costituire Fondo pluriennale vincolato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4">
    <w:abstractNumId w:val="24"/>
  </w:num>
  <w:num w:numId="17">
    <w:abstractNumId w:val="18"/>
  </w:num>
  <w:num w:numId="20">
    <w:abstractNumId w:val="12"/>
  </w:num>
  <w:num w:numId="23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